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FC3C" w14:textId="7D39D62D" w:rsidR="00E63CB4" w:rsidRPr="00EA16BC" w:rsidRDefault="00E63CB4">
      <w:pPr>
        <w:rPr>
          <w:rFonts w:asciiTheme="majorHAnsi" w:hAnsiTheme="majorHAnsi" w:cstheme="majorHAnsi"/>
        </w:rPr>
      </w:pPr>
      <w:r w:rsidRPr="00EA16BC">
        <w:rPr>
          <w:rFonts w:asciiTheme="majorHAnsi" w:hAnsiTheme="majorHAnsi" w:cstheme="majorHAnsi"/>
        </w:rPr>
        <w:t>Praktikertjänst</w:t>
      </w:r>
      <w:r w:rsidR="004A36D6">
        <w:rPr>
          <w:rFonts w:asciiTheme="majorHAnsi" w:hAnsiTheme="majorHAnsi" w:cstheme="majorHAnsi"/>
        </w:rPr>
        <w:t xml:space="preserve"> </w:t>
      </w:r>
      <w:r w:rsidRPr="00EA16BC">
        <w:rPr>
          <w:rFonts w:asciiTheme="majorHAnsi" w:hAnsiTheme="majorHAnsi" w:cstheme="majorHAnsi"/>
        </w:rPr>
        <w:t>Pensionsstiftelse</w:t>
      </w:r>
      <w:r w:rsidR="004A36D6">
        <w:rPr>
          <w:rFonts w:asciiTheme="majorHAnsi" w:hAnsiTheme="majorHAnsi" w:cstheme="majorHAnsi"/>
        </w:rPr>
        <w:t xml:space="preserve"> 2</w:t>
      </w:r>
    </w:p>
    <w:p w14:paraId="467B8B08" w14:textId="15E3DA9E" w:rsidR="00E72158" w:rsidRPr="00EA16BC" w:rsidRDefault="00E72158">
      <w:pPr>
        <w:rPr>
          <w:rFonts w:asciiTheme="majorHAnsi" w:hAnsiTheme="majorHAnsi" w:cstheme="majorHAnsi"/>
        </w:rPr>
      </w:pPr>
    </w:p>
    <w:p w14:paraId="47B36429" w14:textId="5B831CE7" w:rsidR="00E72158" w:rsidRPr="00EA16BC" w:rsidRDefault="001771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</w:t>
      </w:r>
      <w:r w:rsidR="004A36D6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-</w:t>
      </w:r>
      <w:r w:rsidR="00A76B0A">
        <w:rPr>
          <w:rFonts w:asciiTheme="majorHAnsi" w:hAnsiTheme="majorHAnsi" w:cstheme="majorHAnsi"/>
        </w:rPr>
        <w:t>01</w:t>
      </w:r>
      <w:r>
        <w:rPr>
          <w:rFonts w:asciiTheme="majorHAnsi" w:hAnsiTheme="majorHAnsi" w:cstheme="majorHAnsi"/>
        </w:rPr>
        <w:t>-</w:t>
      </w:r>
      <w:r w:rsidR="00A76B0A">
        <w:rPr>
          <w:rFonts w:asciiTheme="majorHAnsi" w:hAnsiTheme="majorHAnsi" w:cstheme="majorHAnsi"/>
        </w:rPr>
        <w:t>18</w:t>
      </w:r>
    </w:p>
    <w:p w14:paraId="233D79E4" w14:textId="5703185D" w:rsidR="00E63CB4" w:rsidRPr="00EA16BC" w:rsidRDefault="00E63CB4">
      <w:pPr>
        <w:rPr>
          <w:rFonts w:asciiTheme="majorHAnsi" w:hAnsiTheme="majorHAnsi" w:cstheme="majorHAnsi"/>
        </w:rPr>
      </w:pPr>
    </w:p>
    <w:p w14:paraId="7050E175" w14:textId="1F6723AA" w:rsidR="00E63CB4" w:rsidRDefault="00E63CB4" w:rsidP="6A25E937">
      <w:pPr>
        <w:pStyle w:val="Heading1"/>
      </w:pPr>
      <w:r>
        <w:t>Ägarstyrning och bevakning av aktieägarrättigheter under 20</w:t>
      </w:r>
      <w:r w:rsidR="0FDF5A6E">
        <w:t>2</w:t>
      </w:r>
      <w:r w:rsidR="004A36D6">
        <w:t>3</w:t>
      </w:r>
    </w:p>
    <w:p w14:paraId="5EDC4B1B" w14:textId="24E7F869" w:rsidR="00E63CB4" w:rsidRPr="00EA16BC" w:rsidRDefault="00E63CB4" w:rsidP="00EA16BC">
      <w:pPr>
        <w:rPr>
          <w:rFonts w:asciiTheme="majorHAnsi" w:hAnsiTheme="majorHAnsi" w:cstheme="majorHAnsi"/>
        </w:rPr>
      </w:pPr>
    </w:p>
    <w:p w14:paraId="72319FAB" w14:textId="68C28750" w:rsidR="00E63CB4" w:rsidRPr="00EA16BC" w:rsidRDefault="00E63CB4" w:rsidP="00EA16BC">
      <w:pPr>
        <w:pStyle w:val="Heading2"/>
      </w:pPr>
      <w:r w:rsidRPr="00EA16BC">
        <w:t>Bakgrund – Ägarpolicyns principer</w:t>
      </w:r>
    </w:p>
    <w:p w14:paraId="497760C5" w14:textId="061ADE61" w:rsidR="005B2CA9" w:rsidRPr="00EA16BC" w:rsidRDefault="00E63CB4" w:rsidP="00EA16BC">
      <w:pPr>
        <w:rPr>
          <w:rFonts w:asciiTheme="majorHAnsi" w:hAnsiTheme="majorHAnsi" w:cstheme="majorHAnsi"/>
        </w:rPr>
      </w:pPr>
      <w:r w:rsidRPr="00EA16BC">
        <w:rPr>
          <w:rFonts w:asciiTheme="majorHAnsi" w:hAnsiTheme="majorHAnsi" w:cstheme="majorHAnsi"/>
        </w:rPr>
        <w:t xml:space="preserve">Den bärande principen i dessa riktlinjer är att utövande av ägarinflytande i noterade </w:t>
      </w:r>
      <w:r w:rsidR="005B2CA9" w:rsidRPr="00EA16BC">
        <w:rPr>
          <w:rFonts w:asciiTheme="majorHAnsi" w:hAnsiTheme="majorHAnsi" w:cstheme="majorHAnsi"/>
        </w:rPr>
        <w:t xml:space="preserve">(och i förekommande fall onoterade) </w:t>
      </w:r>
      <w:r w:rsidRPr="00EA16BC">
        <w:rPr>
          <w:rFonts w:asciiTheme="majorHAnsi" w:hAnsiTheme="majorHAnsi" w:cstheme="majorHAnsi"/>
        </w:rPr>
        <w:t xml:space="preserve">bolag utövas i syfte att främja möjligheten till högre uthållig avkastning på Praktikertjänst AB:s Pensionsstiftelse (Stiftelsen) placerade medel samt påverka bolagen i enlighet med våra värderingar. Rent praktiskt kan </w:t>
      </w:r>
      <w:r w:rsidR="005B2CA9" w:rsidRPr="00EA16BC">
        <w:rPr>
          <w:rFonts w:asciiTheme="majorHAnsi" w:hAnsiTheme="majorHAnsi" w:cstheme="majorHAnsi"/>
        </w:rPr>
        <w:t>man dela in dessa rättigheter, och ansvar att utöva dem, i två huvudgrupper:</w:t>
      </w:r>
      <w:r w:rsidR="005B2CA9" w:rsidRPr="00EA16BC">
        <w:rPr>
          <w:rFonts w:asciiTheme="majorHAnsi" w:hAnsiTheme="majorHAnsi" w:cstheme="majorHAnsi"/>
        </w:rPr>
        <w:br/>
      </w:r>
    </w:p>
    <w:p w14:paraId="03B37FA4" w14:textId="5303863B" w:rsidR="005B2CA9" w:rsidRPr="009439DB" w:rsidRDefault="005B2CA9" w:rsidP="009439DB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7A4D11">
        <w:rPr>
          <w:rFonts w:asciiTheme="majorHAnsi" w:hAnsiTheme="majorHAnsi" w:cstheme="majorHAnsi"/>
        </w:rPr>
        <w:t xml:space="preserve">Traditionella </w:t>
      </w:r>
      <w:r w:rsidR="00FF0566" w:rsidRPr="007A4D11">
        <w:rPr>
          <w:rFonts w:asciiTheme="majorHAnsi" w:hAnsiTheme="majorHAnsi" w:cstheme="majorHAnsi"/>
        </w:rPr>
        <w:t xml:space="preserve">ägarfrågor - </w:t>
      </w:r>
      <w:r w:rsidRPr="007A4D11">
        <w:rPr>
          <w:rFonts w:asciiTheme="majorHAnsi" w:hAnsiTheme="majorHAnsi" w:cstheme="majorHAnsi"/>
        </w:rPr>
        <w:t>Tillvaratagande av Praktikertjänsts ekonomiska rättigheter</w:t>
      </w:r>
      <w:r w:rsidR="009439DB">
        <w:rPr>
          <w:rFonts w:asciiTheme="majorHAnsi" w:hAnsiTheme="majorHAnsi" w:cstheme="majorHAnsi"/>
        </w:rPr>
        <w:t xml:space="preserve">. </w:t>
      </w:r>
      <w:r w:rsidRPr="009439DB">
        <w:rPr>
          <w:rFonts w:asciiTheme="majorHAnsi" w:hAnsiTheme="majorHAnsi" w:cstheme="majorHAnsi"/>
        </w:rPr>
        <w:t>Röstande vid bolagstämmor och på annat sätt föra dialog med styrelse och ledning avseende</w:t>
      </w:r>
    </w:p>
    <w:p w14:paraId="5754BA02" w14:textId="77777777" w:rsidR="009439DB" w:rsidRDefault="005B2CA9" w:rsidP="00D76F47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9439DB">
        <w:rPr>
          <w:rFonts w:asciiTheme="majorHAnsi" w:hAnsiTheme="majorHAnsi" w:cstheme="majorHAnsi"/>
        </w:rPr>
        <w:t>Förvärv och andra strategiska frågor</w:t>
      </w:r>
    </w:p>
    <w:p w14:paraId="3F03A7A7" w14:textId="77777777" w:rsidR="009439DB" w:rsidRDefault="005B2CA9" w:rsidP="00D76F47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9439DB">
        <w:rPr>
          <w:rFonts w:asciiTheme="majorHAnsi" w:hAnsiTheme="majorHAnsi" w:cstheme="majorHAnsi"/>
        </w:rPr>
        <w:t>Nyemissioner och finansiella transaktioner med påverkan på aktieägarvärde</w:t>
      </w:r>
    </w:p>
    <w:p w14:paraId="2C424B20" w14:textId="77777777" w:rsidR="009439DB" w:rsidRDefault="005B2CA9" w:rsidP="00D76F47">
      <w:pPr>
        <w:pStyle w:val="ListParagraph"/>
        <w:numPr>
          <w:ilvl w:val="1"/>
          <w:numId w:val="9"/>
        </w:numPr>
        <w:rPr>
          <w:rFonts w:asciiTheme="majorHAnsi" w:hAnsiTheme="majorHAnsi" w:cstheme="majorHAnsi"/>
        </w:rPr>
      </w:pPr>
      <w:r w:rsidRPr="009439DB">
        <w:rPr>
          <w:rFonts w:asciiTheme="majorHAnsi" w:hAnsiTheme="majorHAnsi" w:cstheme="majorHAnsi"/>
        </w:rPr>
        <w:t>Incitamentsprogram och ersättningsfrågor</w:t>
      </w:r>
    </w:p>
    <w:p w14:paraId="5827BB87" w14:textId="686D2ED8" w:rsidR="005B2CA9" w:rsidRDefault="005B2CA9" w:rsidP="009439DB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9439DB">
        <w:rPr>
          <w:rFonts w:asciiTheme="majorHAnsi" w:hAnsiTheme="majorHAnsi" w:cstheme="majorHAnsi"/>
        </w:rPr>
        <w:t>Frågor rörande etiska, sociala och miljöfrågor, s k ESG frågor</w:t>
      </w:r>
      <w:r w:rsidR="00940279">
        <w:rPr>
          <w:rFonts w:asciiTheme="majorHAnsi" w:hAnsiTheme="majorHAnsi" w:cstheme="majorHAnsi"/>
        </w:rPr>
        <w:t>, med fokus på</w:t>
      </w:r>
    </w:p>
    <w:p w14:paraId="3FAB0B3B" w14:textId="23B722F9" w:rsidR="00940279" w:rsidRDefault="00735848" w:rsidP="00940279">
      <w:pPr>
        <w:pStyle w:val="ListParagraph"/>
        <w:numPr>
          <w:ilvl w:val="1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Hållbarhet</w:t>
      </w:r>
      <w:r w:rsidR="00FF0955">
        <w:rPr>
          <w:rFonts w:asciiTheme="majorHAnsi" w:hAnsiTheme="majorHAnsi" w:cstheme="majorHAnsi"/>
        </w:rPr>
        <w:t xml:space="preserve"> för vår planet och dess invånare</w:t>
      </w:r>
    </w:p>
    <w:p w14:paraId="754A3638" w14:textId="52EA224D" w:rsidR="00D76F47" w:rsidRPr="009439DB" w:rsidRDefault="00735848" w:rsidP="00D76F47">
      <w:pPr>
        <w:pStyle w:val="ListParagraph"/>
        <w:numPr>
          <w:ilvl w:val="1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Och därför i förlängningen bolagens ekonomiska hållbarhet</w:t>
      </w:r>
    </w:p>
    <w:p w14:paraId="457618F1" w14:textId="0ECF4FD8" w:rsidR="005B2CA9" w:rsidRPr="00EA16BC" w:rsidRDefault="00FF0566" w:rsidP="00EA16BC">
      <w:pPr>
        <w:pStyle w:val="Heading2"/>
      </w:pPr>
      <w:r w:rsidRPr="00EA16BC">
        <w:t>Traditionella Ägarfrågor</w:t>
      </w:r>
    </w:p>
    <w:p w14:paraId="0C69E364" w14:textId="1BF9D425" w:rsidR="00002A33" w:rsidRDefault="002F401C" w:rsidP="006D03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FF0566" w:rsidRPr="00EA16BC">
        <w:rPr>
          <w:rFonts w:asciiTheme="majorHAnsi" w:hAnsiTheme="majorHAnsi" w:cstheme="majorHAnsi"/>
        </w:rPr>
        <w:t xml:space="preserve">tiftelsen investerar </w:t>
      </w:r>
      <w:r w:rsidRPr="00EA16BC">
        <w:rPr>
          <w:rFonts w:asciiTheme="majorHAnsi" w:hAnsiTheme="majorHAnsi" w:cstheme="majorHAnsi"/>
        </w:rPr>
        <w:t xml:space="preserve">övervägande </w:t>
      </w:r>
      <w:r w:rsidR="00FF0566" w:rsidRPr="00EA16BC">
        <w:rPr>
          <w:rFonts w:asciiTheme="majorHAnsi" w:hAnsiTheme="majorHAnsi" w:cstheme="majorHAnsi"/>
        </w:rPr>
        <w:t xml:space="preserve">i internationella storbolag med generellt omfattande genomlysning och brett ägande. Därför fokuserar </w:t>
      </w:r>
      <w:r w:rsidR="003E0427" w:rsidRPr="00EA16BC">
        <w:rPr>
          <w:rFonts w:asciiTheme="majorHAnsi" w:hAnsiTheme="majorHAnsi" w:cstheme="majorHAnsi"/>
        </w:rPr>
        <w:t>kapitalförvaltningsgruppen sin tid och resurser där de har betydelse och genomslag. Rent praktiskt betyder det att vi främst är aktiva</w:t>
      </w:r>
      <w:r w:rsidR="006D0388">
        <w:rPr>
          <w:rFonts w:asciiTheme="majorHAnsi" w:hAnsiTheme="majorHAnsi" w:cstheme="majorHAnsi"/>
        </w:rPr>
        <w:t xml:space="preserve"> </w:t>
      </w:r>
      <w:r w:rsidR="003E0427" w:rsidRPr="00EA16BC">
        <w:rPr>
          <w:rFonts w:asciiTheme="majorHAnsi" w:hAnsiTheme="majorHAnsi" w:cstheme="majorHAnsi"/>
        </w:rPr>
        <w:t>i bolag där vi har ett betydande ägande, eller där investeringen utgör en betydande del av vår portfölj.</w:t>
      </w:r>
      <w:r w:rsidR="006D0388">
        <w:rPr>
          <w:rFonts w:asciiTheme="majorHAnsi" w:hAnsiTheme="majorHAnsi" w:cstheme="majorHAnsi"/>
        </w:rPr>
        <w:t xml:space="preserve"> Vidare engagerar vi oss i </w:t>
      </w:r>
      <w:r w:rsidR="00002A33" w:rsidRPr="00EA16BC">
        <w:rPr>
          <w:rFonts w:asciiTheme="majorHAnsi" w:hAnsiTheme="majorHAnsi" w:cstheme="majorHAnsi"/>
        </w:rPr>
        <w:t>frågor som har stor betydelse för bolagsvärden eller som på annat sätt är utmärkande</w:t>
      </w:r>
      <w:r w:rsidR="006D0388">
        <w:rPr>
          <w:rFonts w:asciiTheme="majorHAnsi" w:hAnsiTheme="majorHAnsi" w:cstheme="majorHAnsi"/>
        </w:rPr>
        <w:t xml:space="preserve"> och där vår ståndpunkt inte representeras</w:t>
      </w:r>
      <w:r w:rsidR="00002A33" w:rsidRPr="00EA16BC">
        <w:rPr>
          <w:rFonts w:asciiTheme="majorHAnsi" w:hAnsiTheme="majorHAnsi" w:cstheme="majorHAnsi"/>
        </w:rPr>
        <w:t>.</w:t>
      </w:r>
      <w:r w:rsidR="007F04B0">
        <w:rPr>
          <w:rFonts w:asciiTheme="majorHAnsi" w:hAnsiTheme="majorHAnsi" w:cstheme="majorHAnsi"/>
        </w:rPr>
        <w:t xml:space="preserve"> </w:t>
      </w:r>
    </w:p>
    <w:p w14:paraId="3DB00711" w14:textId="272FE9C5" w:rsidR="007F04B0" w:rsidRPr="007F04B0" w:rsidRDefault="007F04B0" w:rsidP="007F04B0">
      <w:pPr>
        <w:rPr>
          <w:rFonts w:asciiTheme="majorHAnsi" w:hAnsiTheme="majorHAnsi" w:cstheme="majorHAnsi"/>
        </w:rPr>
      </w:pPr>
      <w:r w:rsidRPr="007F04B0">
        <w:rPr>
          <w:rFonts w:asciiTheme="majorHAnsi" w:hAnsiTheme="majorHAnsi" w:cstheme="majorHAnsi"/>
        </w:rPr>
        <w:t xml:space="preserve">Vi har definierat 3 huvudkriterier för </w:t>
      </w:r>
      <w:r>
        <w:rPr>
          <w:rFonts w:asciiTheme="majorHAnsi" w:hAnsiTheme="majorHAnsi" w:cstheme="majorHAnsi"/>
        </w:rPr>
        <w:t xml:space="preserve">var </w:t>
      </w:r>
      <w:r w:rsidRPr="007F04B0">
        <w:rPr>
          <w:rFonts w:asciiTheme="majorHAnsi" w:hAnsiTheme="majorHAnsi" w:cstheme="majorHAnsi"/>
        </w:rPr>
        <w:t>vi anser oss vara absolut manade att vara aktiva ägare:</w:t>
      </w:r>
    </w:p>
    <w:p w14:paraId="250BEF85" w14:textId="77777777" w:rsidR="007F04B0" w:rsidRPr="007F04B0" w:rsidRDefault="007F04B0" w:rsidP="007F04B0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7F04B0">
        <w:rPr>
          <w:rFonts w:asciiTheme="majorHAnsi" w:hAnsiTheme="majorHAnsi" w:cstheme="majorHAnsi"/>
        </w:rPr>
        <w:t>Vi har en betydande ägarandel = Vi äger &gt;5% av aktierna i bolaget</w:t>
      </w:r>
    </w:p>
    <w:p w14:paraId="55F07AB6" w14:textId="77777777" w:rsidR="007F04B0" w:rsidRPr="007F04B0" w:rsidRDefault="007F04B0" w:rsidP="007F04B0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7F04B0">
        <w:rPr>
          <w:rFonts w:asciiTheme="majorHAnsi" w:hAnsiTheme="majorHAnsi" w:cstheme="majorHAnsi"/>
        </w:rPr>
        <w:t>Vi har en betydande position = Vår position väger &gt;4% av aktieportföljen</w:t>
      </w:r>
    </w:p>
    <w:p w14:paraId="05A07734" w14:textId="77777777" w:rsidR="007F04B0" w:rsidRPr="007F04B0" w:rsidRDefault="007F04B0" w:rsidP="007F04B0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7F04B0">
        <w:rPr>
          <w:rFonts w:asciiTheme="majorHAnsi" w:hAnsiTheme="majorHAnsi" w:cstheme="majorHAnsi"/>
        </w:rPr>
        <w:t>Det rör sig om ett flagrant fall av eftersatt aktieägarvärde och vi inte företräds av större ägare med helt likriktade intressen.</w:t>
      </w:r>
    </w:p>
    <w:p w14:paraId="0553873D" w14:textId="7809CC9F" w:rsidR="007F04B0" w:rsidRDefault="007F04B0" w:rsidP="007F04B0">
      <w:pPr>
        <w:rPr>
          <w:rFonts w:asciiTheme="majorHAnsi" w:hAnsiTheme="majorHAnsi" w:cstheme="majorHAnsi"/>
        </w:rPr>
      </w:pPr>
      <w:r w:rsidRPr="007F04B0">
        <w:rPr>
          <w:rFonts w:asciiTheme="majorHAnsi" w:hAnsiTheme="majorHAnsi" w:cstheme="majorHAnsi"/>
        </w:rPr>
        <w:t>I dessa fall är det viktigt att vi aktiverar oss. Det står oss naturligt fritt att intervenera i andra fall också, men med tanke på att vi mest har positioner i mycket stora bolag så kommer det inte hända så ofta.</w:t>
      </w:r>
    </w:p>
    <w:p w14:paraId="472DBD7A" w14:textId="40CABE92" w:rsidR="006D0388" w:rsidRDefault="006D0388" w:rsidP="00EA16BC">
      <w:pPr>
        <w:rPr>
          <w:rFonts w:asciiTheme="majorHAnsi" w:hAnsiTheme="majorHAnsi" w:cstheme="majorHAnsi"/>
        </w:rPr>
      </w:pPr>
    </w:p>
    <w:p w14:paraId="3CFDCB4B" w14:textId="6F6CD76E" w:rsidR="006D0388" w:rsidRDefault="006D0388" w:rsidP="00EA16BC">
      <w:pPr>
        <w:rPr>
          <w:rFonts w:asciiTheme="majorHAnsi" w:hAnsiTheme="majorHAnsi" w:cstheme="majorHAnsi"/>
        </w:rPr>
      </w:pPr>
    </w:p>
    <w:p w14:paraId="3D919956" w14:textId="77777777" w:rsidR="006D0388" w:rsidRPr="00EA16BC" w:rsidRDefault="006D0388" w:rsidP="00EA16BC">
      <w:pPr>
        <w:rPr>
          <w:rFonts w:asciiTheme="majorHAnsi" w:hAnsiTheme="majorHAnsi" w:cstheme="majorHAnsi"/>
        </w:rPr>
      </w:pPr>
    </w:p>
    <w:p w14:paraId="61750098" w14:textId="09567921" w:rsidR="002F5C73" w:rsidRDefault="00B52A62" w:rsidP="002F5C73">
      <w:pPr>
        <w:pStyle w:val="Heading3"/>
      </w:pPr>
      <w:r>
        <w:lastRenderedPageBreak/>
        <w:t>Notabla ä</w:t>
      </w:r>
      <w:r w:rsidR="003E0427">
        <w:t>garåtgärder</w:t>
      </w:r>
      <w:r>
        <w:t xml:space="preserve"> under 20</w:t>
      </w:r>
      <w:r w:rsidR="79E4148D">
        <w:t>2</w:t>
      </w:r>
      <w:r w:rsidR="002F5C73">
        <w:t>2</w:t>
      </w:r>
    </w:p>
    <w:p w14:paraId="55719EE2" w14:textId="69655B4E" w:rsidR="002F5C73" w:rsidRDefault="002F5C73" w:rsidP="002F5C73"/>
    <w:p w14:paraId="500D0234" w14:textId="2D4F9202" w:rsidR="00850237" w:rsidRPr="00EA16BC" w:rsidRDefault="00F056B5" w:rsidP="004A36D6">
      <w:pPr>
        <w:rPr>
          <w:rFonts w:asciiTheme="majorHAnsi" w:hAnsiTheme="majorHAnsi" w:cstheme="majorHAnsi"/>
        </w:rPr>
      </w:pPr>
      <w:r>
        <w:rPr>
          <w:rFonts w:asciiTheme="majorHAnsi" w:hAnsiTheme="majorHAnsi" w:cstheme="majorBidi"/>
        </w:rPr>
        <w:t xml:space="preserve">Då Pensionsstiftelse 2 ännu inte börjat bygga upp en aktieexponering så har frågan om bevakning av aktieägarrättigheter ännu inte aktualiserats. </w:t>
      </w:r>
    </w:p>
    <w:sectPr w:rsidR="00850237" w:rsidRPr="00EA1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6588"/>
    <w:multiLevelType w:val="hybridMultilevel"/>
    <w:tmpl w:val="3E26CA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4066"/>
    <w:multiLevelType w:val="hybridMultilevel"/>
    <w:tmpl w:val="8E18BE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56A1A"/>
    <w:multiLevelType w:val="hybridMultilevel"/>
    <w:tmpl w:val="820CAB6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006628"/>
    <w:multiLevelType w:val="hybridMultilevel"/>
    <w:tmpl w:val="004CDEB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2C7"/>
    <w:multiLevelType w:val="hybridMultilevel"/>
    <w:tmpl w:val="2CBA53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660BD"/>
    <w:multiLevelType w:val="hybridMultilevel"/>
    <w:tmpl w:val="098EFD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73B7D"/>
    <w:multiLevelType w:val="hybridMultilevel"/>
    <w:tmpl w:val="B96870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8678C"/>
    <w:multiLevelType w:val="hybridMultilevel"/>
    <w:tmpl w:val="3200A4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25EFA"/>
    <w:multiLevelType w:val="hybridMultilevel"/>
    <w:tmpl w:val="D7962ED2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26558727">
    <w:abstractNumId w:val="4"/>
  </w:num>
  <w:num w:numId="2" w16cid:durableId="574821403">
    <w:abstractNumId w:val="5"/>
  </w:num>
  <w:num w:numId="3" w16cid:durableId="1498231120">
    <w:abstractNumId w:val="2"/>
  </w:num>
  <w:num w:numId="4" w16cid:durableId="1511291967">
    <w:abstractNumId w:val="1"/>
  </w:num>
  <w:num w:numId="5" w16cid:durableId="799490949">
    <w:abstractNumId w:val="8"/>
  </w:num>
  <w:num w:numId="6" w16cid:durableId="1972246753">
    <w:abstractNumId w:val="7"/>
  </w:num>
  <w:num w:numId="7" w16cid:durableId="641039136">
    <w:abstractNumId w:val="6"/>
  </w:num>
  <w:num w:numId="8" w16cid:durableId="1614484580">
    <w:abstractNumId w:val="0"/>
  </w:num>
  <w:num w:numId="9" w16cid:durableId="1467042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B4"/>
    <w:rsid w:val="00002A33"/>
    <w:rsid w:val="0001424F"/>
    <w:rsid w:val="00026767"/>
    <w:rsid w:val="00027953"/>
    <w:rsid w:val="00035CCC"/>
    <w:rsid w:val="00042560"/>
    <w:rsid w:val="000518FA"/>
    <w:rsid w:val="00061BD5"/>
    <w:rsid w:val="00061FB8"/>
    <w:rsid w:val="000655E9"/>
    <w:rsid w:val="000D4E23"/>
    <w:rsid w:val="0010798C"/>
    <w:rsid w:val="001175C6"/>
    <w:rsid w:val="001507BA"/>
    <w:rsid w:val="00157DF6"/>
    <w:rsid w:val="00177193"/>
    <w:rsid w:val="00196F4D"/>
    <w:rsid w:val="001D1F79"/>
    <w:rsid w:val="00202D0F"/>
    <w:rsid w:val="00207431"/>
    <w:rsid w:val="002A6AB0"/>
    <w:rsid w:val="002A7B50"/>
    <w:rsid w:val="002F401C"/>
    <w:rsid w:val="002F5C73"/>
    <w:rsid w:val="0032130A"/>
    <w:rsid w:val="00357B4B"/>
    <w:rsid w:val="003C15AB"/>
    <w:rsid w:val="003D5DCF"/>
    <w:rsid w:val="003E0427"/>
    <w:rsid w:val="00441B7C"/>
    <w:rsid w:val="00460C8C"/>
    <w:rsid w:val="00484D6A"/>
    <w:rsid w:val="004875F7"/>
    <w:rsid w:val="004A36D6"/>
    <w:rsid w:val="00512707"/>
    <w:rsid w:val="00545BB0"/>
    <w:rsid w:val="00567686"/>
    <w:rsid w:val="0059392E"/>
    <w:rsid w:val="00597EA6"/>
    <w:rsid w:val="005B2CA9"/>
    <w:rsid w:val="005C5467"/>
    <w:rsid w:val="005D5D31"/>
    <w:rsid w:val="005D6147"/>
    <w:rsid w:val="00602F8F"/>
    <w:rsid w:val="006111C8"/>
    <w:rsid w:val="00655823"/>
    <w:rsid w:val="00680B0B"/>
    <w:rsid w:val="0069619F"/>
    <w:rsid w:val="006C53F7"/>
    <w:rsid w:val="006D0388"/>
    <w:rsid w:val="006E4316"/>
    <w:rsid w:val="00735848"/>
    <w:rsid w:val="00750240"/>
    <w:rsid w:val="007631BB"/>
    <w:rsid w:val="007A4D11"/>
    <w:rsid w:val="007F04B0"/>
    <w:rsid w:val="007F775B"/>
    <w:rsid w:val="00800BA0"/>
    <w:rsid w:val="00826FDC"/>
    <w:rsid w:val="00845D1D"/>
    <w:rsid w:val="00850237"/>
    <w:rsid w:val="008539D9"/>
    <w:rsid w:val="008D5B2B"/>
    <w:rsid w:val="009104A8"/>
    <w:rsid w:val="00926EF1"/>
    <w:rsid w:val="00933710"/>
    <w:rsid w:val="00940279"/>
    <w:rsid w:val="009439DB"/>
    <w:rsid w:val="00961AF4"/>
    <w:rsid w:val="009A7DB1"/>
    <w:rsid w:val="009F348E"/>
    <w:rsid w:val="00A040C6"/>
    <w:rsid w:val="00A205E7"/>
    <w:rsid w:val="00A20942"/>
    <w:rsid w:val="00A3318C"/>
    <w:rsid w:val="00A33F0A"/>
    <w:rsid w:val="00A76B0A"/>
    <w:rsid w:val="00AC5248"/>
    <w:rsid w:val="00AE6966"/>
    <w:rsid w:val="00B01FED"/>
    <w:rsid w:val="00B52A62"/>
    <w:rsid w:val="00B7210A"/>
    <w:rsid w:val="00BB449A"/>
    <w:rsid w:val="00BD0DCE"/>
    <w:rsid w:val="00C2693A"/>
    <w:rsid w:val="00C44CE2"/>
    <w:rsid w:val="00CC49A9"/>
    <w:rsid w:val="00CE346E"/>
    <w:rsid w:val="00CE571A"/>
    <w:rsid w:val="00CF3471"/>
    <w:rsid w:val="00D0457B"/>
    <w:rsid w:val="00D415D6"/>
    <w:rsid w:val="00D76F47"/>
    <w:rsid w:val="00D8773C"/>
    <w:rsid w:val="00D9650C"/>
    <w:rsid w:val="00D97B32"/>
    <w:rsid w:val="00DB181D"/>
    <w:rsid w:val="00DE19E7"/>
    <w:rsid w:val="00DF0880"/>
    <w:rsid w:val="00DF5C73"/>
    <w:rsid w:val="00DF6F0D"/>
    <w:rsid w:val="00E50AF6"/>
    <w:rsid w:val="00E63CB4"/>
    <w:rsid w:val="00E6600A"/>
    <w:rsid w:val="00E72158"/>
    <w:rsid w:val="00E86957"/>
    <w:rsid w:val="00EA16BC"/>
    <w:rsid w:val="00EA51B4"/>
    <w:rsid w:val="00EF30C9"/>
    <w:rsid w:val="00EF7071"/>
    <w:rsid w:val="00F056B5"/>
    <w:rsid w:val="00F4202A"/>
    <w:rsid w:val="00F502C5"/>
    <w:rsid w:val="00F60522"/>
    <w:rsid w:val="00F962B6"/>
    <w:rsid w:val="00FA1942"/>
    <w:rsid w:val="00FE0663"/>
    <w:rsid w:val="00FF0566"/>
    <w:rsid w:val="00FF0955"/>
    <w:rsid w:val="04698327"/>
    <w:rsid w:val="064DAB21"/>
    <w:rsid w:val="09ECEF3E"/>
    <w:rsid w:val="0FDF5A6E"/>
    <w:rsid w:val="12074130"/>
    <w:rsid w:val="1423E680"/>
    <w:rsid w:val="175B8742"/>
    <w:rsid w:val="23BEC78D"/>
    <w:rsid w:val="244FB7A7"/>
    <w:rsid w:val="289238B0"/>
    <w:rsid w:val="3888F9BF"/>
    <w:rsid w:val="3FC56DE3"/>
    <w:rsid w:val="3FF23894"/>
    <w:rsid w:val="550AED5E"/>
    <w:rsid w:val="5AF58FFC"/>
    <w:rsid w:val="6344E613"/>
    <w:rsid w:val="6A25E937"/>
    <w:rsid w:val="6C43BAEB"/>
    <w:rsid w:val="6E8E14B3"/>
    <w:rsid w:val="71ED64E7"/>
    <w:rsid w:val="73024528"/>
    <w:rsid w:val="79E4148D"/>
    <w:rsid w:val="7AD2D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9202"/>
  <w15:chartTrackingRefBased/>
  <w15:docId w15:val="{160F7A6F-7739-4706-A207-29CB78C7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rmalTimes">
    <w:name w:val="Normal+Times"/>
    <w:basedOn w:val="Normal"/>
    <w:rsid w:val="00E6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63C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04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02A33"/>
    <w:pPr>
      <w:ind w:left="720"/>
      <w:contextualSpacing/>
    </w:pPr>
  </w:style>
  <w:style w:type="table" w:styleId="TableGrid">
    <w:name w:val="Table Grid"/>
    <w:basedOn w:val="TableNormal"/>
    <w:uiPriority w:val="39"/>
    <w:rsid w:val="00D97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840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01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16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17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819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767088-999d-4c3d-bdcc-67cb02d5f12a" xsi:nil="true"/>
    <lcf76f155ced4ddcb4097134ff3c332f xmlns="82b4784c-c4a6-4cdf-ae0c-2ecba41878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A6C2C049AA64ABC7A3AE87C4DEB7E" ma:contentTypeVersion="17" ma:contentTypeDescription="Create a new document." ma:contentTypeScope="" ma:versionID="10f7f2b5edabf7d80159d1ecf1adabcb">
  <xsd:schema xmlns:xsd="http://www.w3.org/2001/XMLSchema" xmlns:xs="http://www.w3.org/2001/XMLSchema" xmlns:p="http://schemas.microsoft.com/office/2006/metadata/properties" xmlns:ns2="82b4784c-c4a6-4cdf-ae0c-2ecba418781f" xmlns:ns3="62767088-999d-4c3d-bdcc-67cb02d5f12a" targetNamespace="http://schemas.microsoft.com/office/2006/metadata/properties" ma:root="true" ma:fieldsID="1692e28f107d6e09dabdba0f8244c84e" ns2:_="" ns3:_="">
    <xsd:import namespace="82b4784c-c4a6-4cdf-ae0c-2ecba418781f"/>
    <xsd:import namespace="62767088-999d-4c3d-bdcc-67cb02d5f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784c-c4a6-4cdf-ae0c-2ecba4187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d30dcd-8eda-48a1-9c2f-4f1eba150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67088-999d-4c3d-bdcc-67cb02d5f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8e1e52-1513-4a8b-9a6b-5e4a57807393}" ma:internalName="TaxCatchAll" ma:showField="CatchAllData" ma:web="62767088-999d-4c3d-bdcc-67cb02d5f1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A2095-1E1E-41B1-8529-7C22E973B7FA}">
  <ds:schemaRefs>
    <ds:schemaRef ds:uri="http://schemas.microsoft.com/office/2006/metadata/properties"/>
    <ds:schemaRef ds:uri="http://schemas.microsoft.com/office/infopath/2007/PartnerControls"/>
    <ds:schemaRef ds:uri="62767088-999d-4c3d-bdcc-67cb02d5f12a"/>
    <ds:schemaRef ds:uri="82b4784c-c4a6-4cdf-ae0c-2ecba418781f"/>
  </ds:schemaRefs>
</ds:datastoreItem>
</file>

<file path=customXml/itemProps2.xml><?xml version="1.0" encoding="utf-8"?>
<ds:datastoreItem xmlns:ds="http://schemas.openxmlformats.org/officeDocument/2006/customXml" ds:itemID="{04ABEFDA-6EE8-4CB2-AF55-E1D0CDFFB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784c-c4a6-4cdf-ae0c-2ecba418781f"/>
    <ds:schemaRef ds:uri="62767088-999d-4c3d-bdcc-67cb02d5f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30388-C185-465B-9093-F343F03381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bb5408b-4a03-41ab-b8d7-a8cf6205f2cf}" enabled="0" method="" siteId="{3bb5408b-4a03-41ab-b8d7-a8cf6205f2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Ledunger</dc:creator>
  <cp:keywords/>
  <dc:description/>
  <cp:lastModifiedBy>Fredrik Ahlström</cp:lastModifiedBy>
  <cp:revision>2</cp:revision>
  <cp:lastPrinted>2022-02-21T10:02:00Z</cp:lastPrinted>
  <dcterms:created xsi:type="dcterms:W3CDTF">2024-03-19T09:57:00Z</dcterms:created>
  <dcterms:modified xsi:type="dcterms:W3CDTF">2024-03-19T09:57:00Z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0x0101007F0A6C2C049AA64ABC7A3AE87C4DEB7E</vt:lpwstr>
  </property>
  <property fmtid="{D5CDD505-2E9C-101B-9397-08002B2CF9AE}" pid="3" name="Order">
    <vt:r8>70600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